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E231" w14:textId="1E7533FB" w:rsidR="00343CD5" w:rsidRDefault="0024586C" w:rsidP="0024586C">
      <w:pPr>
        <w:jc w:val="center"/>
        <w:rPr>
          <w:color w:val="A02B93" w:themeColor="accent5"/>
        </w:rPr>
      </w:pPr>
      <w:r>
        <w:rPr>
          <w:noProof/>
        </w:rPr>
        <w:drawing>
          <wp:inline distT="0" distB="0" distL="0" distR="0" wp14:anchorId="1157DEB5" wp14:editId="10671843">
            <wp:extent cx="2306050" cy="1981200"/>
            <wp:effectExtent l="0" t="0" r="0" b="0"/>
            <wp:docPr id="135548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88485"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1020" cy="1985470"/>
                    </a:xfrm>
                    <a:prstGeom prst="rect">
                      <a:avLst/>
                    </a:prstGeom>
                    <a:noFill/>
                    <a:ln>
                      <a:noFill/>
                    </a:ln>
                  </pic:spPr>
                </pic:pic>
              </a:graphicData>
            </a:graphic>
          </wp:inline>
        </w:drawing>
      </w:r>
    </w:p>
    <w:p w14:paraId="5C506520" w14:textId="77777777" w:rsidR="0024586C" w:rsidRDefault="0024586C">
      <w:pPr>
        <w:rPr>
          <w:color w:val="A02B93" w:themeColor="accent5"/>
        </w:rPr>
      </w:pPr>
    </w:p>
    <w:p w14:paraId="421D093A" w14:textId="77777777" w:rsidR="0024586C" w:rsidRDefault="0024586C">
      <w:pPr>
        <w:rPr>
          <w:color w:val="A02B93" w:themeColor="accent5"/>
        </w:rPr>
      </w:pPr>
    </w:p>
    <w:p w14:paraId="33EFEF51" w14:textId="77777777" w:rsidR="0024586C" w:rsidRDefault="0024586C">
      <w:pPr>
        <w:rPr>
          <w:color w:val="A02B93" w:themeColor="accent5"/>
        </w:rPr>
      </w:pPr>
    </w:p>
    <w:p w14:paraId="648312E4" w14:textId="77777777" w:rsidR="0024586C" w:rsidRPr="00A45E59" w:rsidRDefault="0024586C">
      <w:pPr>
        <w:rPr>
          <w:color w:val="A02B93" w:themeColor="accent5"/>
        </w:rPr>
      </w:pPr>
    </w:p>
    <w:p w14:paraId="0EEC63AB" w14:textId="5E963C95" w:rsidR="00A45E59" w:rsidRDefault="00A45E59" w:rsidP="00A45E59">
      <w:pPr>
        <w:rPr>
          <w:b/>
          <w:bCs/>
          <w:sz w:val="72"/>
          <w:szCs w:val="72"/>
          <w:lang w:eastAsia="en-GB"/>
        </w:rPr>
      </w:pPr>
      <w:r>
        <w:rPr>
          <w:b/>
          <w:bCs/>
          <w:sz w:val="72"/>
          <w:szCs w:val="72"/>
          <w:lang w:eastAsia="en-GB"/>
        </w:rPr>
        <w:t xml:space="preserve">Anti-bullying Policy </w:t>
      </w:r>
    </w:p>
    <w:p w14:paraId="1DB86247" w14:textId="77777777" w:rsidR="00A45E59" w:rsidRDefault="00A45E59" w:rsidP="00A45E59">
      <w:pPr>
        <w:rPr>
          <w:b/>
          <w:bCs/>
          <w:sz w:val="72"/>
          <w:szCs w:val="72"/>
          <w:lang w:eastAsia="en-GB"/>
        </w:rPr>
      </w:pPr>
    </w:p>
    <w:p w14:paraId="26AB39EF" w14:textId="77777777" w:rsidR="00A45E59" w:rsidRDefault="00A45E59" w:rsidP="00A45E59">
      <w:pPr>
        <w:rPr>
          <w:b/>
          <w:bCs/>
          <w:sz w:val="72"/>
          <w:szCs w:val="72"/>
          <w:lang w:eastAsia="en-GB"/>
        </w:rPr>
      </w:pPr>
    </w:p>
    <w:p w14:paraId="459EF863" w14:textId="77777777" w:rsidR="00A45E59" w:rsidRDefault="00A45E59" w:rsidP="00A45E59">
      <w:pPr>
        <w:rPr>
          <w:sz w:val="72"/>
          <w:szCs w:val="72"/>
          <w:lang w:eastAsia="en-GB"/>
        </w:rPr>
      </w:pPr>
      <w:r>
        <w:rPr>
          <w:b/>
          <w:bCs/>
          <w:sz w:val="72"/>
          <w:szCs w:val="72"/>
          <w:lang w:eastAsia="en-GB"/>
        </w:rPr>
        <w:t xml:space="preserve">ALT Nottingham Ltd </w:t>
      </w:r>
    </w:p>
    <w:p w14:paraId="7EABC973" w14:textId="77777777" w:rsidR="00A45E59" w:rsidRDefault="00A45E59" w:rsidP="00A45E59">
      <w:pPr>
        <w:rPr>
          <w:color w:val="00CF80"/>
          <w:lang w:eastAsia="en-GB"/>
        </w:rPr>
      </w:pPr>
    </w:p>
    <w:p w14:paraId="1F5C38AA" w14:textId="77777777" w:rsidR="00A45E59" w:rsidRDefault="00A45E59" w:rsidP="00A45E59">
      <w:pPr>
        <w:rPr>
          <w:lang w:eastAsia="en-GB"/>
        </w:rPr>
      </w:pPr>
    </w:p>
    <w:p w14:paraId="2FF69D36" w14:textId="77777777" w:rsidR="00A45E59" w:rsidRDefault="00A45E59" w:rsidP="00A45E59">
      <w:pPr>
        <w:rPr>
          <w:lang w:eastAsia="en-GB"/>
        </w:rPr>
      </w:pPr>
    </w:p>
    <w:p w14:paraId="22F9F716" w14:textId="77777777" w:rsidR="00A45E59" w:rsidRDefault="00A45E59" w:rsidP="00A45E59">
      <w:pPr>
        <w:rPr>
          <w:lang w:eastAsia="en-GB"/>
        </w:rPr>
      </w:pPr>
    </w:p>
    <w:p w14:paraId="6A88D1FE" w14:textId="77777777" w:rsidR="00A45E59" w:rsidRDefault="00A45E59" w:rsidP="00A45E59">
      <w:pPr>
        <w:rPr>
          <w:lang w:eastAsia="en-GB"/>
        </w:rPr>
      </w:pPr>
    </w:p>
    <w:p w14:paraId="1DECF6A9" w14:textId="77777777" w:rsidR="00A45E59" w:rsidRDefault="00A45E59" w:rsidP="00A45E59">
      <w:pPr>
        <w:rPr>
          <w:lang w:eastAsia="en-GB"/>
        </w:rPr>
      </w:pPr>
    </w:p>
    <w:p w14:paraId="26BF6EC3" w14:textId="77777777" w:rsidR="00A45E59" w:rsidRDefault="00A45E59" w:rsidP="00A45E59">
      <w:pPr>
        <w:rPr>
          <w:lang w:eastAsia="en-GB"/>
        </w:rPr>
      </w:pPr>
    </w:p>
    <w:p w14:paraId="1908FF9E" w14:textId="77777777" w:rsidR="00A45E59" w:rsidRDefault="00A45E59" w:rsidP="00A45E59">
      <w:pPr>
        <w:rPr>
          <w:lang w:eastAsia="en-GB"/>
        </w:rPr>
      </w:pPr>
    </w:p>
    <w:p w14:paraId="0942FC89" w14:textId="77777777" w:rsidR="00A45E59" w:rsidRDefault="00A45E59" w:rsidP="00A45E59">
      <w:pPr>
        <w:rPr>
          <w:lang w:eastAsia="en-GB"/>
        </w:rPr>
      </w:pPr>
    </w:p>
    <w:p w14:paraId="69DEC6B8" w14:textId="77777777" w:rsidR="00A45E59" w:rsidRDefault="00A45E59" w:rsidP="00A45E59">
      <w:pPr>
        <w:rPr>
          <w:lang w:eastAsia="en-GB"/>
        </w:rPr>
      </w:pPr>
    </w:p>
    <w:p w14:paraId="227A6E77" w14:textId="77777777" w:rsidR="00A45E59" w:rsidRDefault="00A45E59" w:rsidP="00A45E59">
      <w:pPr>
        <w:rPr>
          <w:lang w:eastAsia="en-GB"/>
        </w:rPr>
      </w:pPr>
    </w:p>
    <w:p w14:paraId="4DEC9B1A" w14:textId="77777777" w:rsidR="00A45E59" w:rsidRDefault="00A45E59" w:rsidP="00A45E59">
      <w:pPr>
        <w:rPr>
          <w:lang w:eastAsia="en-GB"/>
        </w:rPr>
      </w:pPr>
    </w:p>
    <w:tbl>
      <w:tblPr>
        <w:tblpPr w:leftFromText="180" w:rightFromText="180" w:vertAnchor="text" w:horzAnchor="margin" w:tblpY="8"/>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6"/>
        <w:gridCol w:w="3270"/>
        <w:gridCol w:w="3864"/>
      </w:tblGrid>
      <w:tr w:rsidR="00A45E59" w14:paraId="4897320E" w14:textId="77777777" w:rsidTr="00A45E59">
        <w:tc>
          <w:tcPr>
            <w:tcW w:w="2586" w:type="dxa"/>
            <w:tcBorders>
              <w:bottom w:val="single" w:sz="18" w:space="0" w:color="FFFFFF"/>
            </w:tcBorders>
            <w:shd w:val="clear" w:color="auto" w:fill="D8DFDE"/>
            <w:tcMar>
              <w:top w:w="57" w:type="dxa"/>
              <w:left w:w="113" w:type="dxa"/>
              <w:bottom w:w="57" w:type="dxa"/>
              <w:right w:w="113" w:type="dxa"/>
            </w:tcMar>
            <w:hideMark/>
          </w:tcPr>
          <w:p w14:paraId="3D614366" w14:textId="77777777" w:rsidR="00A45E59" w:rsidRDefault="00A45E59" w:rsidP="00A45E59">
            <w:pPr>
              <w:rPr>
                <w:color w:val="000000"/>
                <w:lang w:eastAsia="en-GB"/>
              </w:rPr>
            </w:pPr>
            <w:r>
              <w:rPr>
                <w:b/>
                <w:bCs/>
                <w:color w:val="000000"/>
                <w:lang w:eastAsia="en-GB"/>
              </w:rPr>
              <w:t>Approved by:</w:t>
            </w:r>
          </w:p>
        </w:tc>
        <w:tc>
          <w:tcPr>
            <w:tcW w:w="3270" w:type="dxa"/>
            <w:tcBorders>
              <w:bottom w:val="single" w:sz="18" w:space="0" w:color="FFFFFF"/>
            </w:tcBorders>
            <w:shd w:val="clear" w:color="auto" w:fill="D8DFDE"/>
            <w:tcMar>
              <w:top w:w="57" w:type="dxa"/>
              <w:left w:w="113" w:type="dxa"/>
              <w:bottom w:w="57" w:type="dxa"/>
              <w:right w:w="113" w:type="dxa"/>
            </w:tcMar>
            <w:hideMark/>
          </w:tcPr>
          <w:p w14:paraId="57638548" w14:textId="77777777" w:rsidR="00A45E59" w:rsidRDefault="00A45E59" w:rsidP="00A45E59">
            <w:pPr>
              <w:ind w:right="850"/>
              <w:rPr>
                <w:color w:val="000000"/>
                <w:sz w:val="22"/>
                <w:szCs w:val="22"/>
                <w:lang w:eastAsia="en-GB"/>
              </w:rPr>
            </w:pPr>
            <w:r>
              <w:rPr>
                <w:color w:val="000000"/>
                <w:sz w:val="22"/>
                <w:szCs w:val="22"/>
                <w:lang w:eastAsia="en-GB"/>
              </w:rPr>
              <w:t>Holly Delahunty</w:t>
            </w:r>
          </w:p>
        </w:tc>
        <w:tc>
          <w:tcPr>
            <w:tcW w:w="3864" w:type="dxa"/>
            <w:tcBorders>
              <w:bottom w:val="single" w:sz="18" w:space="0" w:color="FFFFFF"/>
            </w:tcBorders>
            <w:shd w:val="clear" w:color="auto" w:fill="D8DFDE"/>
            <w:tcMar>
              <w:top w:w="57" w:type="dxa"/>
              <w:left w:w="113" w:type="dxa"/>
              <w:bottom w:w="57" w:type="dxa"/>
              <w:right w:w="113" w:type="dxa"/>
            </w:tcMar>
            <w:hideMark/>
          </w:tcPr>
          <w:p w14:paraId="1FFD0435" w14:textId="0D8D7D80" w:rsidR="00A45E59" w:rsidRDefault="00A45E59" w:rsidP="00A45E59">
            <w:pPr>
              <w:ind w:right="850"/>
              <w:rPr>
                <w:color w:val="000000"/>
                <w:sz w:val="22"/>
                <w:szCs w:val="22"/>
                <w:lang w:eastAsia="en-GB"/>
              </w:rPr>
            </w:pPr>
            <w:r>
              <w:rPr>
                <w:b/>
                <w:bCs/>
                <w:color w:val="000000"/>
                <w:sz w:val="22"/>
                <w:szCs w:val="22"/>
                <w:lang w:eastAsia="en-GB"/>
              </w:rPr>
              <w:t>Date:</w:t>
            </w:r>
            <w:r>
              <w:rPr>
                <w:color w:val="000000"/>
                <w:sz w:val="22"/>
                <w:szCs w:val="22"/>
                <w:lang w:eastAsia="en-GB"/>
              </w:rPr>
              <w:t xml:space="preserve">  19/11/2025</w:t>
            </w:r>
          </w:p>
        </w:tc>
      </w:tr>
      <w:tr w:rsidR="00A45E59" w14:paraId="4D55B3DD" w14:textId="77777777" w:rsidTr="00A45E59">
        <w:tc>
          <w:tcPr>
            <w:tcW w:w="258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6B6823E4" w14:textId="77777777" w:rsidR="00A45E59" w:rsidRDefault="00A45E59" w:rsidP="00A45E59">
            <w:pPr>
              <w:rPr>
                <w:color w:val="000000"/>
                <w:lang w:eastAsia="en-GB"/>
              </w:rPr>
            </w:pPr>
            <w:r>
              <w:rPr>
                <w:b/>
                <w:bCs/>
                <w:color w:val="000000"/>
                <w:lang w:eastAsia="en-GB"/>
              </w:rPr>
              <w:t>Last reviewed on:</w:t>
            </w:r>
          </w:p>
        </w:tc>
        <w:tc>
          <w:tcPr>
            <w:tcW w:w="713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1535D5BF" w14:textId="73B1827E" w:rsidR="00A45E59" w:rsidRDefault="00A45E59" w:rsidP="00A45E59">
            <w:pPr>
              <w:ind w:right="850"/>
              <w:rPr>
                <w:color w:val="000000"/>
                <w:sz w:val="22"/>
                <w:szCs w:val="22"/>
                <w:lang w:eastAsia="en-GB"/>
              </w:rPr>
            </w:pPr>
            <w:r>
              <w:rPr>
                <w:color w:val="000000"/>
                <w:sz w:val="22"/>
                <w:szCs w:val="22"/>
                <w:lang w:eastAsia="en-GB"/>
              </w:rPr>
              <w:t>19/11/2025</w:t>
            </w:r>
          </w:p>
        </w:tc>
      </w:tr>
      <w:tr w:rsidR="00A45E59" w14:paraId="688566FD" w14:textId="77777777" w:rsidTr="00A45E59">
        <w:tc>
          <w:tcPr>
            <w:tcW w:w="2586" w:type="dxa"/>
            <w:tcBorders>
              <w:top w:val="single" w:sz="18" w:space="0" w:color="FFFFFF"/>
            </w:tcBorders>
            <w:shd w:val="clear" w:color="auto" w:fill="D8DFDE"/>
            <w:tcMar>
              <w:top w:w="57" w:type="dxa"/>
              <w:left w:w="113" w:type="dxa"/>
              <w:bottom w:w="57" w:type="dxa"/>
              <w:right w:w="113" w:type="dxa"/>
            </w:tcMar>
            <w:hideMark/>
          </w:tcPr>
          <w:p w14:paraId="6BE1F6F4" w14:textId="77777777" w:rsidR="00A45E59" w:rsidRDefault="00A45E59" w:rsidP="00A45E59">
            <w:pPr>
              <w:rPr>
                <w:color w:val="000000"/>
                <w:lang w:eastAsia="en-GB"/>
              </w:rPr>
            </w:pPr>
            <w:r>
              <w:rPr>
                <w:b/>
                <w:bCs/>
                <w:color w:val="000000"/>
                <w:lang w:eastAsia="en-GB"/>
              </w:rPr>
              <w:t>Next review due by:</w:t>
            </w:r>
          </w:p>
        </w:tc>
        <w:tc>
          <w:tcPr>
            <w:tcW w:w="7134" w:type="dxa"/>
            <w:gridSpan w:val="2"/>
            <w:tcBorders>
              <w:top w:val="single" w:sz="18" w:space="0" w:color="FFFFFF"/>
            </w:tcBorders>
            <w:shd w:val="clear" w:color="auto" w:fill="D8DFDE"/>
            <w:tcMar>
              <w:top w:w="57" w:type="dxa"/>
              <w:left w:w="113" w:type="dxa"/>
              <w:bottom w:w="57" w:type="dxa"/>
              <w:right w:w="113" w:type="dxa"/>
            </w:tcMar>
            <w:hideMark/>
          </w:tcPr>
          <w:p w14:paraId="56CBEE64" w14:textId="6A91798F" w:rsidR="00A45E59" w:rsidRDefault="00A45E59" w:rsidP="00A45E59">
            <w:pPr>
              <w:ind w:right="850"/>
              <w:rPr>
                <w:color w:val="000000"/>
                <w:sz w:val="22"/>
                <w:szCs w:val="22"/>
                <w:lang w:eastAsia="en-GB"/>
              </w:rPr>
            </w:pPr>
            <w:r>
              <w:rPr>
                <w:color w:val="000000"/>
                <w:sz w:val="22"/>
                <w:szCs w:val="22"/>
                <w:lang w:eastAsia="en-GB"/>
              </w:rPr>
              <w:t>19/11/2025</w:t>
            </w:r>
          </w:p>
        </w:tc>
      </w:tr>
    </w:tbl>
    <w:p w14:paraId="0907266A" w14:textId="77777777" w:rsidR="00A45E59" w:rsidRDefault="00A45E59" w:rsidP="00A45E59">
      <w:pPr>
        <w:rPr>
          <w:lang w:eastAsia="en-GB"/>
        </w:rPr>
      </w:pPr>
    </w:p>
    <w:p w14:paraId="5969C022"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Introduction</w:t>
      </w:r>
    </w:p>
    <w:p w14:paraId="48FCCF90" w14:textId="76E2DC5F"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At ALT Nottingham, we are committed to building a culture where bullying of any kind</w:t>
      </w:r>
      <w:r w:rsidR="00A45E59">
        <w:rPr>
          <w:rFonts w:ascii="Calibri Light" w:eastAsia="Times New Roman" w:hAnsi="Calibri Light" w:cs="Calibri Light"/>
          <w:kern w:val="0"/>
          <w:lang w:eastAsia="en-GB"/>
          <w14:ligatures w14:val="none"/>
        </w:rPr>
        <w:t xml:space="preserve"> </w:t>
      </w:r>
      <w:r w:rsidRPr="00343CD5">
        <w:rPr>
          <w:rFonts w:ascii="Calibri Light" w:eastAsia="Times New Roman" w:hAnsi="Calibri Light" w:cs="Calibri Light"/>
          <w:kern w:val="0"/>
          <w:lang w:eastAsia="en-GB"/>
          <w14:ligatures w14:val="none"/>
        </w:rPr>
        <w:t>towards children, young people, or adults</w:t>
      </w:r>
      <w:r w:rsidR="00A45E59">
        <w:rPr>
          <w:rFonts w:ascii="Calibri Light" w:eastAsia="Times New Roman" w:hAnsi="Calibri Light" w:cs="Calibri Light"/>
          <w:kern w:val="0"/>
          <w:lang w:eastAsia="en-GB"/>
          <w14:ligatures w14:val="none"/>
        </w:rPr>
        <w:t xml:space="preserve"> </w:t>
      </w:r>
      <w:r w:rsidRPr="00343CD5">
        <w:rPr>
          <w:rFonts w:ascii="Calibri Light" w:eastAsia="Times New Roman" w:hAnsi="Calibri Light" w:cs="Calibri Light"/>
          <w:kern w:val="0"/>
          <w:lang w:eastAsia="en-GB"/>
          <w14:ligatures w14:val="none"/>
        </w:rPr>
        <w:t>is never tolerated. Our approach is rooted in trauma</w:t>
      </w:r>
      <w:r w:rsidRPr="00343CD5">
        <w:rPr>
          <w:rFonts w:ascii="Calibri Light" w:eastAsia="Times New Roman" w:hAnsi="Calibri Light" w:cs="Calibri Light"/>
          <w:kern w:val="0"/>
          <w:lang w:eastAsia="en-GB"/>
          <w14:ligatures w14:val="none"/>
        </w:rPr>
        <w:noBreakHyphen/>
        <w:t>informed practice, safeguarding clarity, and inclusion. We believe every learner and staff member deserves to feel safe, respected, and supported.</w:t>
      </w:r>
    </w:p>
    <w:p w14:paraId="4F11840A" w14:textId="4DB4D9C4" w:rsidR="00A45E59" w:rsidRPr="00343CD5" w:rsidRDefault="00343CD5" w:rsidP="00A45E59">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This policy sets out how ALT Nottingham will prevent, respond to, and address bullying. It draws on statutory guidance including </w:t>
      </w:r>
      <w:r w:rsidRPr="00343CD5">
        <w:rPr>
          <w:rFonts w:ascii="Calibri Light" w:eastAsia="Times New Roman" w:hAnsi="Calibri Light" w:cs="Calibri Light"/>
          <w:i/>
          <w:iCs/>
          <w:kern w:val="0"/>
          <w:lang w:eastAsia="en-GB"/>
          <w14:ligatures w14:val="none"/>
        </w:rPr>
        <w:t>Keeping Children Safe in Education (2023)</w:t>
      </w:r>
      <w:r w:rsidRPr="00343CD5">
        <w:rPr>
          <w:rFonts w:ascii="Calibri Light" w:eastAsia="Times New Roman" w:hAnsi="Calibri Light" w:cs="Calibri Light"/>
          <w:kern w:val="0"/>
          <w:lang w:eastAsia="en-GB"/>
          <w14:ligatures w14:val="none"/>
        </w:rPr>
        <w:t xml:space="preserve">, the DfE’s </w:t>
      </w:r>
      <w:r w:rsidRPr="00343CD5">
        <w:rPr>
          <w:rFonts w:ascii="Calibri Light" w:eastAsia="Times New Roman" w:hAnsi="Calibri Light" w:cs="Calibri Light"/>
          <w:i/>
          <w:iCs/>
          <w:kern w:val="0"/>
          <w:lang w:eastAsia="en-GB"/>
          <w14:ligatures w14:val="none"/>
        </w:rPr>
        <w:t>Preventing and Tackling Bullying (2017)</w:t>
      </w:r>
      <w:r w:rsidRPr="00343CD5">
        <w:rPr>
          <w:rFonts w:ascii="Calibri Light" w:eastAsia="Times New Roman" w:hAnsi="Calibri Light" w:cs="Calibri Light"/>
          <w:kern w:val="0"/>
          <w:lang w:eastAsia="en-GB"/>
          <w14:ligatures w14:val="none"/>
        </w:rPr>
        <w:t>, and resources from the Anti</w:t>
      </w:r>
      <w:r w:rsidRPr="00343CD5">
        <w:rPr>
          <w:rFonts w:ascii="Calibri Light" w:eastAsia="Times New Roman" w:hAnsi="Calibri Light" w:cs="Calibri Light"/>
          <w:kern w:val="0"/>
          <w:lang w:eastAsia="en-GB"/>
          <w14:ligatures w14:val="none"/>
        </w:rPr>
        <w:noBreakHyphen/>
        <w:t>Bullying Alliance. It has been shaped collaboratively</w:t>
      </w:r>
      <w:r w:rsidR="00A45E59">
        <w:rPr>
          <w:rFonts w:ascii="Calibri Light" w:eastAsia="Times New Roman" w:hAnsi="Calibri Light" w:cs="Calibri Light"/>
          <w:kern w:val="0"/>
          <w:lang w:eastAsia="en-GB"/>
          <w14:ligatures w14:val="none"/>
        </w:rPr>
        <w:t xml:space="preserve"> from insight of working with professionals, learners and families in mind. </w:t>
      </w:r>
    </w:p>
    <w:p w14:paraId="12AE7F9F"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Legislative Framework</w:t>
      </w:r>
    </w:p>
    <w:p w14:paraId="4B62A298" w14:textId="77777777"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ALT Nottingham recognises its duties under:</w:t>
      </w:r>
    </w:p>
    <w:p w14:paraId="22048506" w14:textId="77777777" w:rsidR="00343CD5" w:rsidRPr="00343CD5" w:rsidRDefault="00343CD5" w:rsidP="00343CD5">
      <w:pPr>
        <w:numPr>
          <w:ilvl w:val="0"/>
          <w:numId w:val="2"/>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The Education Act 2002</w:t>
      </w:r>
    </w:p>
    <w:p w14:paraId="22700EEC" w14:textId="77777777" w:rsidR="00343CD5" w:rsidRPr="00343CD5" w:rsidRDefault="00343CD5" w:rsidP="00343CD5">
      <w:pPr>
        <w:numPr>
          <w:ilvl w:val="0"/>
          <w:numId w:val="2"/>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The Education and Inspection Acts 2006 &amp; 2011</w:t>
      </w:r>
    </w:p>
    <w:p w14:paraId="3FF9421C" w14:textId="77777777" w:rsidR="00343CD5" w:rsidRPr="00343CD5" w:rsidRDefault="00343CD5" w:rsidP="00343CD5">
      <w:pPr>
        <w:numPr>
          <w:ilvl w:val="0"/>
          <w:numId w:val="2"/>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The Equality Act 2010</w:t>
      </w:r>
    </w:p>
    <w:p w14:paraId="586A05DC" w14:textId="77777777" w:rsidR="00343CD5" w:rsidRPr="00343CD5" w:rsidRDefault="00343CD5" w:rsidP="00343CD5">
      <w:pPr>
        <w:numPr>
          <w:ilvl w:val="0"/>
          <w:numId w:val="2"/>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The Children Act 1989</w:t>
      </w:r>
    </w:p>
    <w:p w14:paraId="766FB304" w14:textId="77777777" w:rsidR="00343CD5" w:rsidRPr="00343CD5" w:rsidRDefault="00343CD5" w:rsidP="00343CD5">
      <w:pPr>
        <w:numPr>
          <w:ilvl w:val="0"/>
          <w:numId w:val="2"/>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Protection from Harassment Act 1997</w:t>
      </w:r>
    </w:p>
    <w:p w14:paraId="3633A873" w14:textId="77777777" w:rsidR="00343CD5" w:rsidRPr="00343CD5" w:rsidRDefault="00343CD5" w:rsidP="00343CD5">
      <w:pPr>
        <w:numPr>
          <w:ilvl w:val="0"/>
          <w:numId w:val="2"/>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Malicious Communications Act 1988</w:t>
      </w:r>
    </w:p>
    <w:p w14:paraId="76D21153" w14:textId="77777777" w:rsidR="00343CD5" w:rsidRPr="00343CD5" w:rsidRDefault="00343CD5" w:rsidP="00343CD5">
      <w:pPr>
        <w:numPr>
          <w:ilvl w:val="0"/>
          <w:numId w:val="2"/>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Communications Act 2003</w:t>
      </w:r>
    </w:p>
    <w:p w14:paraId="36705AE0" w14:textId="2953A44B" w:rsidR="00A45E59" w:rsidRPr="00343CD5" w:rsidRDefault="00343CD5" w:rsidP="00A45E59">
      <w:pPr>
        <w:numPr>
          <w:ilvl w:val="0"/>
          <w:numId w:val="2"/>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Public Order Act 1986</w:t>
      </w:r>
    </w:p>
    <w:p w14:paraId="03C79E41"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Responsibilities</w:t>
      </w:r>
    </w:p>
    <w:p w14:paraId="1C0EC9D4" w14:textId="4E01320E" w:rsidR="00343CD5" w:rsidRPr="00343CD5" w:rsidRDefault="00343CD5" w:rsidP="00343CD5">
      <w:pPr>
        <w:numPr>
          <w:ilvl w:val="0"/>
          <w:numId w:val="3"/>
        </w:numPr>
        <w:spacing w:before="100" w:beforeAutospacing="1" w:after="100" w:afterAutospacing="1" w:line="240" w:lineRule="auto"/>
        <w:rPr>
          <w:rFonts w:ascii="Calibri Light" w:eastAsia="Times New Roman" w:hAnsi="Calibri Light" w:cs="Calibri Light"/>
          <w:kern w:val="0"/>
          <w:lang w:eastAsia="en-GB"/>
          <w14:ligatures w14:val="none"/>
        </w:rPr>
      </w:pPr>
      <w:r w:rsidRPr="00A45E59">
        <w:rPr>
          <w:rFonts w:ascii="Calibri Light" w:eastAsia="Times New Roman" w:hAnsi="Calibri Light" w:cs="Calibri Light"/>
          <w:b/>
          <w:bCs/>
          <w:kern w:val="0"/>
          <w:lang w:eastAsia="en-GB"/>
          <w14:ligatures w14:val="none"/>
        </w:rPr>
        <w:t xml:space="preserve">Head of Provision and SLT: </w:t>
      </w:r>
      <w:r w:rsidRPr="00343CD5">
        <w:rPr>
          <w:rFonts w:ascii="Calibri Light" w:eastAsia="Times New Roman" w:hAnsi="Calibri Light" w:cs="Calibri Light"/>
          <w:kern w:val="0"/>
          <w:lang w:eastAsia="en-GB"/>
          <w14:ligatures w14:val="none"/>
        </w:rPr>
        <w:t>Ensure this policy is communicated clearly, implemented consistently, and monitored effectively.</w:t>
      </w:r>
    </w:p>
    <w:p w14:paraId="00C1324A" w14:textId="46742A75" w:rsidR="00343CD5" w:rsidRPr="00A45E59" w:rsidRDefault="00343CD5" w:rsidP="00343CD5">
      <w:pPr>
        <w:numPr>
          <w:ilvl w:val="0"/>
          <w:numId w:val="3"/>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b/>
          <w:bCs/>
          <w:kern w:val="0"/>
          <w:lang w:eastAsia="en-GB"/>
          <w14:ligatures w14:val="none"/>
        </w:rPr>
        <w:lastRenderedPageBreak/>
        <w:t>All Staff:</w:t>
      </w:r>
      <w:r w:rsidRPr="00343CD5">
        <w:rPr>
          <w:rFonts w:ascii="Calibri Light" w:eastAsia="Times New Roman" w:hAnsi="Calibri Light" w:cs="Calibri Light"/>
          <w:kern w:val="0"/>
          <w:lang w:eastAsia="en-GB"/>
          <w14:ligatures w14:val="none"/>
        </w:rPr>
        <w:t xml:space="preserve"> Uphold and model ALT Nottingham’s values, report concerns </w:t>
      </w:r>
      <w:r w:rsidR="00A45E59" w:rsidRPr="00343CD5">
        <w:rPr>
          <w:rFonts w:ascii="Calibri Light" w:eastAsia="Times New Roman" w:hAnsi="Calibri Light" w:cs="Calibri Light"/>
          <w:kern w:val="0"/>
          <w:lang w:eastAsia="en-GB"/>
          <w14:ligatures w14:val="none"/>
        </w:rPr>
        <w:t>promptly and</w:t>
      </w:r>
      <w:r w:rsidRPr="00343CD5">
        <w:rPr>
          <w:rFonts w:ascii="Calibri Light" w:eastAsia="Times New Roman" w:hAnsi="Calibri Light" w:cs="Calibri Light"/>
          <w:kern w:val="0"/>
          <w:lang w:eastAsia="en-GB"/>
          <w14:ligatures w14:val="none"/>
        </w:rPr>
        <w:t xml:space="preserve"> respond with compassion and consistency.</w:t>
      </w:r>
    </w:p>
    <w:p w14:paraId="441E67B2" w14:textId="7B90CA7B" w:rsidR="00A45E59" w:rsidRPr="00343CD5" w:rsidRDefault="00A45E59" w:rsidP="00343CD5">
      <w:pPr>
        <w:numPr>
          <w:ilvl w:val="0"/>
          <w:numId w:val="3"/>
        </w:numPr>
        <w:spacing w:before="100" w:beforeAutospacing="1" w:after="100" w:afterAutospacing="1" w:line="240" w:lineRule="auto"/>
        <w:rPr>
          <w:rFonts w:ascii="Calibri Light" w:eastAsia="Times New Roman" w:hAnsi="Calibri Light" w:cs="Calibri Light"/>
          <w:kern w:val="0"/>
          <w:lang w:eastAsia="en-GB"/>
          <w14:ligatures w14:val="none"/>
        </w:rPr>
      </w:pPr>
      <w:r w:rsidRPr="00A45E59">
        <w:rPr>
          <w:rFonts w:ascii="Calibri Light" w:eastAsia="Times New Roman" w:hAnsi="Calibri Light" w:cs="Calibri Light"/>
          <w:b/>
          <w:bCs/>
          <w:kern w:val="0"/>
          <w:lang w:eastAsia="en-GB"/>
          <w14:ligatures w14:val="none"/>
        </w:rPr>
        <w:t>Commissioners:</w:t>
      </w:r>
      <w:r w:rsidRPr="00A45E59">
        <w:rPr>
          <w:rFonts w:ascii="Calibri Light" w:eastAsia="Times New Roman" w:hAnsi="Calibri Light" w:cs="Calibri Light"/>
          <w:kern w:val="0"/>
          <w:lang w:eastAsia="en-GB"/>
          <w14:ligatures w14:val="none"/>
        </w:rPr>
        <w:t xml:space="preserve"> work with us in partnership with student and families to support and resolve concerns for all. </w:t>
      </w:r>
    </w:p>
    <w:p w14:paraId="36B058D4" w14:textId="2F75758D" w:rsidR="00A45E59" w:rsidRPr="00343CD5" w:rsidRDefault="00343CD5" w:rsidP="00A45E59">
      <w:pPr>
        <w:numPr>
          <w:ilvl w:val="0"/>
          <w:numId w:val="3"/>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b/>
          <w:bCs/>
          <w:kern w:val="0"/>
          <w:lang w:eastAsia="en-GB"/>
          <w14:ligatures w14:val="none"/>
        </w:rPr>
        <w:t>Parents/Carers:</w:t>
      </w:r>
      <w:r w:rsidRPr="00343CD5">
        <w:rPr>
          <w:rFonts w:ascii="Calibri Light" w:eastAsia="Times New Roman" w:hAnsi="Calibri Light" w:cs="Calibri Light"/>
          <w:kern w:val="0"/>
          <w:lang w:eastAsia="en-GB"/>
          <w14:ligatures w14:val="none"/>
        </w:rPr>
        <w:t xml:space="preserve"> Partner with us to support learners and reinforce our shared commitment to safety.</w:t>
      </w:r>
    </w:p>
    <w:p w14:paraId="0227412B" w14:textId="3D90BF4D" w:rsidR="00343CD5" w:rsidRPr="00343CD5" w:rsidRDefault="00343CD5" w:rsidP="00343CD5">
      <w:pPr>
        <w:numPr>
          <w:ilvl w:val="0"/>
          <w:numId w:val="3"/>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b/>
          <w:bCs/>
          <w:kern w:val="0"/>
          <w:lang w:eastAsia="en-GB"/>
          <w14:ligatures w14:val="none"/>
        </w:rPr>
        <w:t>Learners:</w:t>
      </w:r>
      <w:r w:rsidRPr="00343CD5">
        <w:rPr>
          <w:rFonts w:ascii="Calibri Light" w:eastAsia="Times New Roman" w:hAnsi="Calibri Light" w:cs="Calibri Light"/>
          <w:kern w:val="0"/>
          <w:lang w:eastAsia="en-GB"/>
          <w14:ligatures w14:val="none"/>
        </w:rPr>
        <w:t xml:space="preserve"> Understand the importance of respect and </w:t>
      </w:r>
      <w:r w:rsidR="00A45E59" w:rsidRPr="00343CD5">
        <w:rPr>
          <w:rFonts w:ascii="Calibri Light" w:eastAsia="Times New Roman" w:hAnsi="Calibri Light" w:cs="Calibri Light"/>
          <w:kern w:val="0"/>
          <w:lang w:eastAsia="en-GB"/>
          <w14:ligatures w14:val="none"/>
        </w:rPr>
        <w:t>kindness and</w:t>
      </w:r>
      <w:r w:rsidRPr="00343CD5">
        <w:rPr>
          <w:rFonts w:ascii="Calibri Light" w:eastAsia="Times New Roman" w:hAnsi="Calibri Light" w:cs="Calibri Light"/>
          <w:kern w:val="0"/>
          <w:lang w:eastAsia="en-GB"/>
          <w14:ligatures w14:val="none"/>
        </w:rPr>
        <w:t xml:space="preserve"> know how to report concerns.</w:t>
      </w:r>
    </w:p>
    <w:p w14:paraId="36FBC25C" w14:textId="53722339" w:rsidR="00343CD5" w:rsidRPr="00343CD5" w:rsidRDefault="00343CD5" w:rsidP="00343CD5">
      <w:pPr>
        <w:spacing w:after="0" w:line="240" w:lineRule="auto"/>
        <w:rPr>
          <w:rFonts w:ascii="Times New Roman" w:eastAsia="Times New Roman" w:hAnsi="Times New Roman" w:cs="Times New Roman"/>
          <w:kern w:val="0"/>
          <w:lang w:eastAsia="en-GB"/>
          <w14:ligatures w14:val="none"/>
        </w:rPr>
      </w:pPr>
    </w:p>
    <w:p w14:paraId="735C1A4D"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Definition of Bullying</w:t>
      </w:r>
    </w:p>
    <w:p w14:paraId="2F69F116" w14:textId="77777777"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Bullying is defined as repeated behaviour by an individual or group that intentionally hurts another person physically or emotionally. This includes:</w:t>
      </w:r>
    </w:p>
    <w:p w14:paraId="0E52AF3D" w14:textId="77777777" w:rsidR="00343CD5" w:rsidRPr="00343CD5" w:rsidRDefault="00343CD5" w:rsidP="00343CD5">
      <w:pPr>
        <w:numPr>
          <w:ilvl w:val="0"/>
          <w:numId w:val="4"/>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Name</w:t>
      </w:r>
      <w:r w:rsidRPr="00343CD5">
        <w:rPr>
          <w:rFonts w:ascii="Calibri Light" w:eastAsia="Times New Roman" w:hAnsi="Calibri Light" w:cs="Calibri Light"/>
          <w:kern w:val="0"/>
          <w:lang w:eastAsia="en-GB"/>
          <w14:ligatures w14:val="none"/>
        </w:rPr>
        <w:noBreakHyphen/>
        <w:t>calling, exclusion, gossip, or spreading rumours</w:t>
      </w:r>
    </w:p>
    <w:p w14:paraId="15196D43" w14:textId="77777777" w:rsidR="00343CD5" w:rsidRPr="00343CD5" w:rsidRDefault="00343CD5" w:rsidP="00343CD5">
      <w:pPr>
        <w:numPr>
          <w:ilvl w:val="0"/>
          <w:numId w:val="4"/>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Physical aggression such as hitting, kicking, or taking belongings</w:t>
      </w:r>
    </w:p>
    <w:p w14:paraId="0B815C5D" w14:textId="77777777" w:rsidR="00343CD5" w:rsidRPr="00343CD5" w:rsidRDefault="00343CD5" w:rsidP="00343CD5">
      <w:pPr>
        <w:numPr>
          <w:ilvl w:val="0"/>
          <w:numId w:val="4"/>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Offensive comments, graffiti, or harassment</w:t>
      </w:r>
    </w:p>
    <w:p w14:paraId="7CC11806" w14:textId="77777777" w:rsidR="00343CD5" w:rsidRPr="00343CD5" w:rsidRDefault="00343CD5" w:rsidP="00343CD5">
      <w:pPr>
        <w:numPr>
          <w:ilvl w:val="0"/>
          <w:numId w:val="4"/>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Online/cyberbullying through messages, images, or social media</w:t>
      </w:r>
    </w:p>
    <w:p w14:paraId="69D964C2" w14:textId="5CBE1D6B"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At ALT Nottingham, bullying is recognised as a form of child</w:t>
      </w:r>
      <w:r w:rsidRPr="00343CD5">
        <w:rPr>
          <w:rFonts w:ascii="Calibri Light" w:eastAsia="Times New Roman" w:hAnsi="Calibri Light" w:cs="Calibri Light"/>
          <w:kern w:val="0"/>
          <w:lang w:eastAsia="en-GB"/>
          <w14:ligatures w14:val="none"/>
        </w:rPr>
        <w:noBreakHyphen/>
        <w:t>on</w:t>
      </w:r>
      <w:r w:rsidRPr="00343CD5">
        <w:rPr>
          <w:rFonts w:ascii="Calibri Light" w:eastAsia="Times New Roman" w:hAnsi="Calibri Light" w:cs="Calibri Light"/>
          <w:kern w:val="0"/>
          <w:lang w:eastAsia="en-GB"/>
          <w14:ligatures w14:val="none"/>
        </w:rPr>
        <w:noBreakHyphen/>
        <w:t>child abuse. It can cause significant harm to emotional wellbeing and development and will always be addressed.</w:t>
      </w:r>
    </w:p>
    <w:p w14:paraId="53FB6781" w14:textId="108ACFC0"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 xml:space="preserve">Forms of Bullying </w:t>
      </w:r>
      <w:r w:rsidR="00A45E59">
        <w:rPr>
          <w:rFonts w:ascii="Times New Roman" w:eastAsia="Times New Roman" w:hAnsi="Times New Roman" w:cs="Times New Roman"/>
          <w:b/>
          <w:bCs/>
          <w:color w:val="A02B93" w:themeColor="accent5"/>
          <w:kern w:val="0"/>
          <w:sz w:val="36"/>
          <w:szCs w:val="36"/>
          <w:lang w:eastAsia="en-GB"/>
          <w14:ligatures w14:val="none"/>
        </w:rPr>
        <w:t>c</w:t>
      </w:r>
      <w:r w:rsidRPr="00343CD5">
        <w:rPr>
          <w:rFonts w:ascii="Times New Roman" w:eastAsia="Times New Roman" w:hAnsi="Times New Roman" w:cs="Times New Roman"/>
          <w:b/>
          <w:bCs/>
          <w:color w:val="A02B93" w:themeColor="accent5"/>
          <w:kern w:val="0"/>
          <w:sz w:val="36"/>
          <w:szCs w:val="36"/>
          <w:lang w:eastAsia="en-GB"/>
          <w14:ligatures w14:val="none"/>
        </w:rPr>
        <w:t>overed</w:t>
      </w:r>
    </w:p>
    <w:p w14:paraId="6EBE9175" w14:textId="0D870FA7"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Times New Roman" w:eastAsia="Times New Roman" w:hAnsi="Times New Roman" w:cs="Times New Roman"/>
          <w:kern w:val="0"/>
          <w:lang w:eastAsia="en-GB"/>
          <w14:ligatures w14:val="none"/>
        </w:rPr>
        <w:t xml:space="preserve">This </w:t>
      </w:r>
      <w:r w:rsidRPr="00343CD5">
        <w:rPr>
          <w:rFonts w:ascii="Calibri Light" w:eastAsia="Times New Roman" w:hAnsi="Calibri Light" w:cs="Calibri Light"/>
          <w:kern w:val="0"/>
          <w:lang w:eastAsia="en-GB"/>
          <w14:ligatures w14:val="none"/>
        </w:rPr>
        <w:t>policy applies to all forms of bullying, including</w:t>
      </w:r>
      <w:r w:rsidR="00A45E59">
        <w:rPr>
          <w:rFonts w:ascii="Calibri Light" w:eastAsia="Times New Roman" w:hAnsi="Calibri Light" w:cs="Calibri Light"/>
          <w:kern w:val="0"/>
          <w:lang w:eastAsia="en-GB"/>
          <w14:ligatures w14:val="none"/>
        </w:rPr>
        <w:t xml:space="preserve"> but not limited </w:t>
      </w:r>
      <w:proofErr w:type="spellStart"/>
      <w:r w:rsidR="00A45E59">
        <w:rPr>
          <w:rFonts w:ascii="Calibri Light" w:eastAsia="Times New Roman" w:hAnsi="Calibri Light" w:cs="Calibri Light"/>
          <w:kern w:val="0"/>
          <w:lang w:eastAsia="en-GB"/>
          <w14:ligatures w14:val="none"/>
        </w:rPr>
        <w:t>too</w:t>
      </w:r>
      <w:proofErr w:type="spellEnd"/>
      <w:r w:rsidRPr="00343CD5">
        <w:rPr>
          <w:rFonts w:ascii="Calibri Light" w:eastAsia="Times New Roman" w:hAnsi="Calibri Light" w:cs="Calibri Light"/>
          <w:kern w:val="0"/>
          <w:lang w:eastAsia="en-GB"/>
          <w14:ligatures w14:val="none"/>
        </w:rPr>
        <w:t>:</w:t>
      </w:r>
    </w:p>
    <w:p w14:paraId="1FDF2E4A" w14:textId="77777777" w:rsidR="00343CD5" w:rsidRPr="00343CD5" w:rsidRDefault="00343CD5" w:rsidP="00343CD5">
      <w:pPr>
        <w:numPr>
          <w:ilvl w:val="0"/>
          <w:numId w:val="5"/>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Physical, emotional, and sexual bullying</w:t>
      </w:r>
    </w:p>
    <w:p w14:paraId="4FFF9F3A" w14:textId="77777777" w:rsidR="00343CD5" w:rsidRPr="00343CD5" w:rsidRDefault="00343CD5" w:rsidP="00343CD5">
      <w:pPr>
        <w:numPr>
          <w:ilvl w:val="0"/>
          <w:numId w:val="5"/>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Cyberbullying and online harassment</w:t>
      </w:r>
    </w:p>
    <w:p w14:paraId="1C8C65D0" w14:textId="77777777" w:rsidR="00343CD5" w:rsidRPr="00343CD5" w:rsidRDefault="00343CD5" w:rsidP="00343CD5">
      <w:pPr>
        <w:numPr>
          <w:ilvl w:val="0"/>
          <w:numId w:val="5"/>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Prejudicial bullying related to race, religion, culture, SEND, gender identity, sexual orientation, or home circumstances</w:t>
      </w:r>
    </w:p>
    <w:p w14:paraId="512AAC10" w14:textId="77777777" w:rsidR="00343CD5" w:rsidRPr="00343CD5" w:rsidRDefault="00343CD5" w:rsidP="00343CD5">
      <w:pPr>
        <w:numPr>
          <w:ilvl w:val="0"/>
          <w:numId w:val="5"/>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Bullying of young carers, children in care, or teenage parents</w:t>
      </w:r>
    </w:p>
    <w:p w14:paraId="40EBB9D5" w14:textId="597A6A0A" w:rsidR="00343CD5" w:rsidRPr="00343CD5" w:rsidRDefault="00343CD5" w:rsidP="00343CD5">
      <w:pPr>
        <w:numPr>
          <w:ilvl w:val="0"/>
          <w:numId w:val="5"/>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Bullying linked to appearance, health, or disability</w:t>
      </w:r>
    </w:p>
    <w:p w14:paraId="2E4507B5"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ALT Nottingham Ethos</w:t>
      </w:r>
    </w:p>
    <w:p w14:paraId="294570BD" w14:textId="77777777"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We strive to create a safe, nurturing environment where learners feel valued and supported. Our trauma</w:t>
      </w:r>
      <w:r w:rsidRPr="00343CD5">
        <w:rPr>
          <w:rFonts w:ascii="Calibri Light" w:eastAsia="Times New Roman" w:hAnsi="Calibri Light" w:cs="Calibri Light"/>
          <w:kern w:val="0"/>
          <w:lang w:eastAsia="en-GB"/>
          <w14:ligatures w14:val="none"/>
        </w:rPr>
        <w:noBreakHyphen/>
        <w:t>informed approach recognises that some learners may struggle with empathy, communication, or self</w:t>
      </w:r>
      <w:r w:rsidRPr="00343CD5">
        <w:rPr>
          <w:rFonts w:ascii="Calibri Light" w:eastAsia="Times New Roman" w:hAnsi="Calibri Light" w:cs="Calibri Light"/>
          <w:kern w:val="0"/>
          <w:lang w:eastAsia="en-GB"/>
          <w14:ligatures w14:val="none"/>
        </w:rPr>
        <w:noBreakHyphen/>
        <w:t>regulation. While intent may differ, the impact of harmful behaviour is the same and must be addressed with sensitivity and clarity.</w:t>
      </w:r>
    </w:p>
    <w:p w14:paraId="6802CF29" w14:textId="77777777"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We respond to incidents in ways that balance safeguarding, accountability, and emotional safety.</w:t>
      </w:r>
    </w:p>
    <w:p w14:paraId="4ED24331" w14:textId="393E3E89" w:rsidR="00343CD5" w:rsidRPr="00343CD5" w:rsidRDefault="00343CD5" w:rsidP="00343CD5">
      <w:pPr>
        <w:spacing w:after="0" w:line="240" w:lineRule="auto"/>
        <w:rPr>
          <w:rFonts w:ascii="Times New Roman" w:eastAsia="Times New Roman" w:hAnsi="Times New Roman" w:cs="Times New Roman"/>
          <w:kern w:val="0"/>
          <w:lang w:eastAsia="en-GB"/>
          <w14:ligatures w14:val="none"/>
        </w:rPr>
      </w:pPr>
    </w:p>
    <w:p w14:paraId="73688CD5"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lastRenderedPageBreak/>
        <w:t>Aims</w:t>
      </w:r>
    </w:p>
    <w:p w14:paraId="0CEFC603" w14:textId="77777777"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Our anti</w:t>
      </w:r>
      <w:r w:rsidRPr="00343CD5">
        <w:rPr>
          <w:rFonts w:ascii="Calibri Light" w:eastAsia="Times New Roman" w:hAnsi="Calibri Light" w:cs="Calibri Light"/>
          <w:kern w:val="0"/>
          <w:lang w:eastAsia="en-GB"/>
          <w14:ligatures w14:val="none"/>
        </w:rPr>
        <w:noBreakHyphen/>
        <w:t>bullying strategy seeks to:</w:t>
      </w:r>
    </w:p>
    <w:p w14:paraId="658C13AA" w14:textId="77777777" w:rsidR="00343CD5" w:rsidRPr="00343CD5" w:rsidRDefault="00343CD5" w:rsidP="00343CD5">
      <w:pPr>
        <w:numPr>
          <w:ilvl w:val="0"/>
          <w:numId w:val="6"/>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Prevent and de</w:t>
      </w:r>
      <w:r w:rsidRPr="00343CD5">
        <w:rPr>
          <w:rFonts w:ascii="Calibri Light" w:eastAsia="Times New Roman" w:hAnsi="Calibri Light" w:cs="Calibri Light"/>
          <w:kern w:val="0"/>
          <w:lang w:eastAsia="en-GB"/>
          <w14:ligatures w14:val="none"/>
        </w:rPr>
        <w:noBreakHyphen/>
        <w:t>escalate harmful behaviour</w:t>
      </w:r>
    </w:p>
    <w:p w14:paraId="49DB51E6" w14:textId="77777777" w:rsidR="00343CD5" w:rsidRPr="00343CD5" w:rsidRDefault="00343CD5" w:rsidP="00343CD5">
      <w:pPr>
        <w:numPr>
          <w:ilvl w:val="0"/>
          <w:numId w:val="6"/>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Respond proportionately and consistently to incidents</w:t>
      </w:r>
    </w:p>
    <w:p w14:paraId="7DE1C908" w14:textId="77777777" w:rsidR="00343CD5" w:rsidRPr="00343CD5" w:rsidRDefault="00343CD5" w:rsidP="00343CD5">
      <w:pPr>
        <w:numPr>
          <w:ilvl w:val="0"/>
          <w:numId w:val="6"/>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Safeguard and support those affected</w:t>
      </w:r>
    </w:p>
    <w:p w14:paraId="59EA27FF" w14:textId="77777777" w:rsidR="00343CD5" w:rsidRPr="00343CD5" w:rsidRDefault="00343CD5" w:rsidP="00343CD5">
      <w:pPr>
        <w:numPr>
          <w:ilvl w:val="0"/>
          <w:numId w:val="6"/>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Help learners who have bullied to reflect, learn, and change behaviour through restorative practice</w:t>
      </w:r>
    </w:p>
    <w:p w14:paraId="25E8585E" w14:textId="3A3909EB" w:rsidR="00343CD5" w:rsidRPr="00343CD5" w:rsidRDefault="00343CD5" w:rsidP="00343CD5">
      <w:pPr>
        <w:numPr>
          <w:ilvl w:val="0"/>
          <w:numId w:val="6"/>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Embed positive relationships and emotional wellbeing across the curriculum</w:t>
      </w:r>
    </w:p>
    <w:p w14:paraId="5D92D88D"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Recognising and Reporting Bullying</w:t>
      </w:r>
    </w:p>
    <w:p w14:paraId="0D8C460C" w14:textId="2E3BE253"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Staff are trained to recognise indicators such as changes in behaviour, attendance, or wellbeing. Learners are encouraged to report concerns, and advocates may report on their behalf. All reports are taken seriously, logged on our safeguarding platform, and acted upon promptly.</w:t>
      </w:r>
    </w:p>
    <w:p w14:paraId="5967E1C5"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Preventative Strategies</w:t>
      </w:r>
    </w:p>
    <w:p w14:paraId="014D313D" w14:textId="77777777" w:rsidR="00343CD5" w:rsidRPr="00343CD5" w:rsidRDefault="00343CD5" w:rsidP="00343CD5">
      <w:pPr>
        <w:numPr>
          <w:ilvl w:val="0"/>
          <w:numId w:val="7"/>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Strong relationships with learners and families to identify early signs of distress</w:t>
      </w:r>
    </w:p>
    <w:p w14:paraId="0966AF81" w14:textId="77777777" w:rsidR="00343CD5" w:rsidRPr="00343CD5" w:rsidRDefault="00343CD5" w:rsidP="00343CD5">
      <w:pPr>
        <w:numPr>
          <w:ilvl w:val="0"/>
          <w:numId w:val="7"/>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Individual behaviour plans and functional assessments where needed</w:t>
      </w:r>
    </w:p>
    <w:p w14:paraId="4367A023" w14:textId="3290FB99" w:rsidR="00343CD5" w:rsidRPr="00343CD5" w:rsidRDefault="00343CD5" w:rsidP="00343CD5">
      <w:pPr>
        <w:numPr>
          <w:ilvl w:val="0"/>
          <w:numId w:val="7"/>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Curriculum opportunities (PSHE,</w:t>
      </w:r>
      <w:r>
        <w:rPr>
          <w:rFonts w:ascii="Calibri Light" w:eastAsia="Times New Roman" w:hAnsi="Calibri Light" w:cs="Calibri Light"/>
          <w:kern w:val="0"/>
          <w:lang w:eastAsia="en-GB"/>
          <w14:ligatures w14:val="none"/>
        </w:rPr>
        <w:t>1:1 intervention</w:t>
      </w:r>
      <w:r w:rsidRPr="00343CD5">
        <w:rPr>
          <w:rFonts w:ascii="Calibri Light" w:eastAsia="Times New Roman" w:hAnsi="Calibri Light" w:cs="Calibri Light"/>
          <w:kern w:val="0"/>
          <w:lang w:eastAsia="en-GB"/>
          <w14:ligatures w14:val="none"/>
        </w:rPr>
        <w:t>) to explore respect, empathy, and difference</w:t>
      </w:r>
      <w:r>
        <w:rPr>
          <w:rFonts w:ascii="Calibri Light" w:eastAsia="Times New Roman" w:hAnsi="Calibri Light" w:cs="Calibri Light"/>
          <w:kern w:val="0"/>
          <w:lang w:eastAsia="en-GB"/>
          <w14:ligatures w14:val="none"/>
        </w:rPr>
        <w:t>s</w:t>
      </w:r>
    </w:p>
    <w:p w14:paraId="79772D80" w14:textId="677CBEC6" w:rsidR="00343CD5" w:rsidRPr="00343CD5" w:rsidRDefault="00343CD5" w:rsidP="00343CD5">
      <w:pPr>
        <w:numPr>
          <w:ilvl w:val="0"/>
          <w:numId w:val="7"/>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Effective supervision and monitoring, including </w:t>
      </w:r>
      <w:r>
        <w:rPr>
          <w:rFonts w:ascii="Calibri Light" w:eastAsia="Times New Roman" w:hAnsi="Calibri Light" w:cs="Calibri Light"/>
          <w:kern w:val="0"/>
          <w:lang w:eastAsia="en-GB"/>
          <w14:ligatures w14:val="none"/>
        </w:rPr>
        <w:t xml:space="preserve">monitoring CCTV footage. </w:t>
      </w:r>
    </w:p>
    <w:p w14:paraId="278F578F" w14:textId="4FACA2FD" w:rsidR="00343CD5" w:rsidRPr="00343CD5" w:rsidRDefault="00343CD5" w:rsidP="00343CD5">
      <w:pPr>
        <w:numPr>
          <w:ilvl w:val="0"/>
          <w:numId w:val="7"/>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Promoting appreciation of diversity and inclusion across the </w:t>
      </w:r>
      <w:r>
        <w:rPr>
          <w:rFonts w:ascii="Calibri Light" w:eastAsia="Times New Roman" w:hAnsi="Calibri Light" w:cs="Calibri Light"/>
          <w:kern w:val="0"/>
          <w:lang w:eastAsia="en-GB"/>
          <w14:ligatures w14:val="none"/>
        </w:rPr>
        <w:t xml:space="preserve">provision </w:t>
      </w:r>
      <w:r w:rsidRPr="00343CD5">
        <w:rPr>
          <w:rFonts w:ascii="Calibri Light" w:eastAsia="Times New Roman" w:hAnsi="Calibri Light" w:cs="Calibri Light"/>
          <w:kern w:val="0"/>
          <w:lang w:eastAsia="en-GB"/>
          <w14:ligatures w14:val="none"/>
        </w:rPr>
        <w:t>environment</w:t>
      </w:r>
    </w:p>
    <w:p w14:paraId="411EDB98"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Responding to Incidents</w:t>
      </w:r>
    </w:p>
    <w:p w14:paraId="57DB3D78" w14:textId="77777777" w:rsidR="00343CD5" w:rsidRPr="00343CD5" w:rsidRDefault="00343CD5" w:rsidP="00343CD5">
      <w:pPr>
        <w:numPr>
          <w:ilvl w:val="0"/>
          <w:numId w:val="8"/>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Staff address concerns immediately and record them on the safeguarding platform</w:t>
      </w:r>
    </w:p>
    <w:p w14:paraId="10D209FA" w14:textId="413651A7" w:rsidR="00343CD5" w:rsidRPr="00343CD5" w:rsidRDefault="00343CD5" w:rsidP="00343CD5">
      <w:pPr>
        <w:numPr>
          <w:ilvl w:val="0"/>
          <w:numId w:val="8"/>
        </w:numPr>
        <w:spacing w:before="100" w:beforeAutospacing="1" w:after="100" w:afterAutospacing="1" w:line="240" w:lineRule="auto"/>
        <w:rPr>
          <w:rFonts w:ascii="Calibri Light" w:eastAsia="Times New Roman" w:hAnsi="Calibri Light" w:cs="Calibri Light"/>
          <w:kern w:val="0"/>
          <w:lang w:eastAsia="en-GB"/>
          <w14:ligatures w14:val="none"/>
        </w:rPr>
      </w:pPr>
      <w:r>
        <w:rPr>
          <w:rFonts w:ascii="Calibri Light" w:eastAsia="Times New Roman" w:hAnsi="Calibri Light" w:cs="Calibri Light"/>
          <w:kern w:val="0"/>
          <w:lang w:eastAsia="en-GB"/>
          <w14:ligatures w14:val="none"/>
        </w:rPr>
        <w:t xml:space="preserve">DSL </w:t>
      </w:r>
      <w:r w:rsidRPr="00343CD5">
        <w:rPr>
          <w:rFonts w:ascii="Calibri Light" w:eastAsia="Times New Roman" w:hAnsi="Calibri Light" w:cs="Calibri Light"/>
          <w:kern w:val="0"/>
          <w:lang w:eastAsia="en-GB"/>
          <w14:ligatures w14:val="none"/>
        </w:rPr>
        <w:t>investigate</w:t>
      </w:r>
      <w:r>
        <w:rPr>
          <w:rFonts w:ascii="Calibri Light" w:eastAsia="Times New Roman" w:hAnsi="Calibri Light" w:cs="Calibri Light"/>
          <w:kern w:val="0"/>
          <w:lang w:eastAsia="en-GB"/>
          <w14:ligatures w14:val="none"/>
        </w:rPr>
        <w:t>s</w:t>
      </w:r>
      <w:r w:rsidRPr="00343CD5">
        <w:rPr>
          <w:rFonts w:ascii="Calibri Light" w:eastAsia="Times New Roman" w:hAnsi="Calibri Light" w:cs="Calibri Light"/>
          <w:kern w:val="0"/>
          <w:lang w:eastAsia="en-GB"/>
          <w14:ligatures w14:val="none"/>
        </w:rPr>
        <w:t xml:space="preserve"> thoroughly, listening to all parties involved</w:t>
      </w:r>
    </w:p>
    <w:p w14:paraId="64D56614" w14:textId="38345CDA" w:rsidR="00343CD5" w:rsidRPr="00343CD5" w:rsidRDefault="00343CD5" w:rsidP="00343CD5">
      <w:pPr>
        <w:numPr>
          <w:ilvl w:val="0"/>
          <w:numId w:val="8"/>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Parents/carers</w:t>
      </w:r>
      <w:r>
        <w:rPr>
          <w:rFonts w:ascii="Calibri Light" w:eastAsia="Times New Roman" w:hAnsi="Calibri Light" w:cs="Calibri Light"/>
          <w:kern w:val="0"/>
          <w:lang w:eastAsia="en-GB"/>
          <w14:ligatures w14:val="none"/>
        </w:rPr>
        <w:t xml:space="preserve"> and commissioners </w:t>
      </w:r>
      <w:r w:rsidRPr="00343CD5">
        <w:rPr>
          <w:rFonts w:ascii="Calibri Light" w:eastAsia="Times New Roman" w:hAnsi="Calibri Light" w:cs="Calibri Light"/>
          <w:kern w:val="0"/>
          <w:lang w:eastAsia="en-GB"/>
          <w14:ligatures w14:val="none"/>
        </w:rPr>
        <w:t>are informed and engaged in solutions</w:t>
      </w:r>
    </w:p>
    <w:p w14:paraId="69B9F830" w14:textId="77777777" w:rsidR="00343CD5" w:rsidRPr="00343CD5" w:rsidRDefault="00343CD5" w:rsidP="00343CD5">
      <w:pPr>
        <w:numPr>
          <w:ilvl w:val="0"/>
          <w:numId w:val="8"/>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Restorative approaches are prioritised, alongside disciplinary measures where necessary</w:t>
      </w:r>
    </w:p>
    <w:p w14:paraId="43453F25" w14:textId="2F814717" w:rsidR="00343CD5" w:rsidRPr="00343CD5" w:rsidRDefault="00343CD5" w:rsidP="00343CD5">
      <w:pPr>
        <w:numPr>
          <w:ilvl w:val="0"/>
          <w:numId w:val="8"/>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Police or local authority involvement is sought if a crime or immediate risk is identified</w:t>
      </w:r>
    </w:p>
    <w:p w14:paraId="5294455B"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Support for Learners</w:t>
      </w:r>
    </w:p>
    <w:p w14:paraId="1D35A8E0" w14:textId="77777777" w:rsidR="00343CD5" w:rsidRPr="00343CD5" w:rsidRDefault="00343CD5" w:rsidP="00343CD5">
      <w:pPr>
        <w:numPr>
          <w:ilvl w:val="0"/>
          <w:numId w:val="9"/>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b/>
          <w:bCs/>
          <w:kern w:val="0"/>
          <w:lang w:eastAsia="en-GB"/>
          <w14:ligatures w14:val="none"/>
        </w:rPr>
        <w:t>For those bullied:</w:t>
      </w:r>
      <w:r w:rsidRPr="00343CD5">
        <w:rPr>
          <w:rFonts w:ascii="Calibri Light" w:eastAsia="Times New Roman" w:hAnsi="Calibri Light" w:cs="Calibri Light"/>
          <w:kern w:val="0"/>
          <w:lang w:eastAsia="en-GB"/>
          <w14:ligatures w14:val="none"/>
        </w:rPr>
        <w:t xml:space="preserve"> Immediate reassurance, emotional support, and restorative opportunities to rebuild confidence.</w:t>
      </w:r>
    </w:p>
    <w:p w14:paraId="64475140" w14:textId="44363152" w:rsidR="00343CD5" w:rsidRPr="00343CD5" w:rsidRDefault="00343CD5" w:rsidP="00343CD5">
      <w:pPr>
        <w:numPr>
          <w:ilvl w:val="0"/>
          <w:numId w:val="9"/>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b/>
          <w:bCs/>
          <w:kern w:val="0"/>
          <w:lang w:eastAsia="en-GB"/>
          <w14:ligatures w14:val="none"/>
        </w:rPr>
        <w:t xml:space="preserve">For those who </w:t>
      </w:r>
      <w:r>
        <w:rPr>
          <w:rFonts w:ascii="Calibri Light" w:eastAsia="Times New Roman" w:hAnsi="Calibri Light" w:cs="Calibri Light"/>
          <w:b/>
          <w:bCs/>
          <w:kern w:val="0"/>
          <w:lang w:eastAsia="en-GB"/>
          <w14:ligatures w14:val="none"/>
        </w:rPr>
        <w:t>have been accused of bullying</w:t>
      </w:r>
      <w:r w:rsidRPr="00343CD5">
        <w:rPr>
          <w:rFonts w:ascii="Calibri Light" w:eastAsia="Times New Roman" w:hAnsi="Calibri Light" w:cs="Calibri Light"/>
          <w:b/>
          <w:bCs/>
          <w:kern w:val="0"/>
          <w:lang w:eastAsia="en-GB"/>
          <w14:ligatures w14:val="none"/>
        </w:rPr>
        <w:t>:</w:t>
      </w:r>
      <w:r w:rsidRPr="00343CD5">
        <w:rPr>
          <w:rFonts w:ascii="Calibri Light" w:eastAsia="Times New Roman" w:hAnsi="Calibri Light" w:cs="Calibri Light"/>
          <w:kern w:val="0"/>
          <w:lang w:eastAsia="en-GB"/>
          <w14:ligatures w14:val="none"/>
        </w:rPr>
        <w:t xml:space="preserve"> Clear communication that behaviour is unacceptable, restorative conversations, and support to develop positive behaviours</w:t>
      </w:r>
      <w:r>
        <w:rPr>
          <w:rFonts w:ascii="Calibri Light" w:eastAsia="Times New Roman" w:hAnsi="Calibri Light" w:cs="Calibri Light"/>
          <w:kern w:val="0"/>
          <w:lang w:eastAsia="en-GB"/>
          <w14:ligatures w14:val="none"/>
        </w:rPr>
        <w:t xml:space="preserve">. If bullying continues a consequence in line with our behaviour policy will apply. </w:t>
      </w:r>
    </w:p>
    <w:p w14:paraId="1F04FB50"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lastRenderedPageBreak/>
        <w:t>Equal Opportunities</w:t>
      </w:r>
    </w:p>
    <w:p w14:paraId="6E0C394A" w14:textId="0B8B7EC8"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ALT Nottingham celebrates diversity. Our curriculum, displays, and resources reflect a wide range of cultures and identities. We actively challenge discrimination and ensure every learner’s background is respected.</w:t>
      </w:r>
    </w:p>
    <w:p w14:paraId="65FEB920" w14:textId="2419FDEC"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 xml:space="preserve">Useful </w:t>
      </w:r>
      <w:r w:rsidRPr="00A45E59">
        <w:rPr>
          <w:rFonts w:ascii="Times New Roman" w:eastAsia="Times New Roman" w:hAnsi="Times New Roman" w:cs="Times New Roman"/>
          <w:b/>
          <w:bCs/>
          <w:color w:val="A02B93" w:themeColor="accent5"/>
          <w:kern w:val="0"/>
          <w:sz w:val="36"/>
          <w:szCs w:val="36"/>
          <w:lang w:eastAsia="en-GB"/>
          <w14:ligatures w14:val="none"/>
        </w:rPr>
        <w:t>l</w:t>
      </w:r>
      <w:r w:rsidRPr="00343CD5">
        <w:rPr>
          <w:rFonts w:ascii="Times New Roman" w:eastAsia="Times New Roman" w:hAnsi="Times New Roman" w:cs="Times New Roman"/>
          <w:b/>
          <w:bCs/>
          <w:color w:val="A02B93" w:themeColor="accent5"/>
          <w:kern w:val="0"/>
          <w:sz w:val="36"/>
          <w:szCs w:val="36"/>
          <w:lang w:eastAsia="en-GB"/>
          <w14:ligatures w14:val="none"/>
        </w:rPr>
        <w:t>inks and Resources</w:t>
      </w:r>
    </w:p>
    <w:p w14:paraId="7810FA88" w14:textId="77777777" w:rsidR="00343CD5" w:rsidRPr="00343CD5" w:rsidRDefault="00343CD5" w:rsidP="00343CD5">
      <w:pPr>
        <w:numPr>
          <w:ilvl w:val="0"/>
          <w:numId w:val="10"/>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Anti</w:t>
      </w:r>
      <w:r w:rsidRPr="00343CD5">
        <w:rPr>
          <w:rFonts w:ascii="Calibri Light" w:eastAsia="Times New Roman" w:hAnsi="Calibri Light" w:cs="Calibri Light"/>
          <w:kern w:val="0"/>
          <w:lang w:eastAsia="en-GB"/>
          <w14:ligatures w14:val="none"/>
        </w:rPr>
        <w:noBreakHyphen/>
        <w:t xml:space="preserve">Bullying Alliance: </w:t>
      </w:r>
      <w:hyperlink r:id="rId6" w:history="1">
        <w:r w:rsidRPr="00343CD5">
          <w:rPr>
            <w:rFonts w:ascii="Calibri Light" w:eastAsia="Times New Roman" w:hAnsi="Calibri Light" w:cs="Calibri Light"/>
            <w:color w:val="0000FF"/>
            <w:kern w:val="0"/>
            <w:u w:val="single"/>
            <w:lang w:eastAsia="en-GB"/>
            <w14:ligatures w14:val="none"/>
          </w:rPr>
          <w:t>www.anti-bullyingalliance.org.uk</w:t>
        </w:r>
      </w:hyperlink>
    </w:p>
    <w:p w14:paraId="3E68218D" w14:textId="77777777" w:rsidR="00343CD5" w:rsidRPr="00343CD5" w:rsidRDefault="00343CD5" w:rsidP="00343CD5">
      <w:pPr>
        <w:numPr>
          <w:ilvl w:val="0"/>
          <w:numId w:val="10"/>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Childline: </w:t>
      </w:r>
      <w:hyperlink r:id="rId7" w:history="1">
        <w:r w:rsidRPr="00343CD5">
          <w:rPr>
            <w:rFonts w:ascii="Calibri Light" w:eastAsia="Times New Roman" w:hAnsi="Calibri Light" w:cs="Calibri Light"/>
            <w:color w:val="0000FF"/>
            <w:kern w:val="0"/>
            <w:u w:val="single"/>
            <w:lang w:eastAsia="en-GB"/>
            <w14:ligatures w14:val="none"/>
          </w:rPr>
          <w:t>www.childline.org.uk</w:t>
        </w:r>
      </w:hyperlink>
    </w:p>
    <w:p w14:paraId="3BDBF8A9" w14:textId="77777777" w:rsidR="00343CD5" w:rsidRPr="00343CD5" w:rsidRDefault="00343CD5" w:rsidP="00343CD5">
      <w:pPr>
        <w:numPr>
          <w:ilvl w:val="0"/>
          <w:numId w:val="10"/>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NSPCC: </w:t>
      </w:r>
      <w:hyperlink r:id="rId8" w:history="1">
        <w:r w:rsidRPr="00343CD5">
          <w:rPr>
            <w:rFonts w:ascii="Calibri Light" w:eastAsia="Times New Roman" w:hAnsi="Calibri Light" w:cs="Calibri Light"/>
            <w:color w:val="0000FF"/>
            <w:kern w:val="0"/>
            <w:u w:val="single"/>
            <w:lang w:eastAsia="en-GB"/>
            <w14:ligatures w14:val="none"/>
          </w:rPr>
          <w:t>www.nspcc.org.uk</w:t>
        </w:r>
      </w:hyperlink>
    </w:p>
    <w:p w14:paraId="00DF4E74" w14:textId="77777777" w:rsidR="00343CD5" w:rsidRPr="00343CD5" w:rsidRDefault="00343CD5" w:rsidP="00343CD5">
      <w:pPr>
        <w:numPr>
          <w:ilvl w:val="0"/>
          <w:numId w:val="10"/>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Young Minds: </w:t>
      </w:r>
      <w:hyperlink r:id="rId9" w:history="1">
        <w:r w:rsidRPr="00343CD5">
          <w:rPr>
            <w:rFonts w:ascii="Calibri Light" w:eastAsia="Times New Roman" w:hAnsi="Calibri Light" w:cs="Calibri Light"/>
            <w:color w:val="0000FF"/>
            <w:kern w:val="0"/>
            <w:u w:val="single"/>
            <w:lang w:eastAsia="en-GB"/>
            <w14:ligatures w14:val="none"/>
          </w:rPr>
          <w:t>www.youngminds.org.uk</w:t>
        </w:r>
      </w:hyperlink>
    </w:p>
    <w:p w14:paraId="11D17091" w14:textId="77777777" w:rsidR="00343CD5" w:rsidRPr="00343CD5" w:rsidRDefault="00343CD5" w:rsidP="00343CD5">
      <w:pPr>
        <w:numPr>
          <w:ilvl w:val="0"/>
          <w:numId w:val="10"/>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Restorative Justice Council: </w:t>
      </w:r>
      <w:hyperlink r:id="rId10" w:history="1">
        <w:r w:rsidRPr="00343CD5">
          <w:rPr>
            <w:rFonts w:ascii="Calibri Light" w:eastAsia="Times New Roman" w:hAnsi="Calibri Light" w:cs="Calibri Light"/>
            <w:color w:val="0000FF"/>
            <w:kern w:val="0"/>
            <w:u w:val="single"/>
            <w:lang w:eastAsia="en-GB"/>
            <w14:ligatures w14:val="none"/>
          </w:rPr>
          <w:t>www.restorativejustice.org.uk</w:t>
        </w:r>
      </w:hyperlink>
    </w:p>
    <w:p w14:paraId="2AD8158A" w14:textId="77777777" w:rsidR="00343CD5" w:rsidRPr="00343CD5" w:rsidRDefault="00343CD5" w:rsidP="00343CD5">
      <w:pPr>
        <w:numPr>
          <w:ilvl w:val="0"/>
          <w:numId w:val="10"/>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UK Safer Internet Centre: </w:t>
      </w:r>
      <w:hyperlink r:id="rId11" w:history="1">
        <w:r w:rsidRPr="00343CD5">
          <w:rPr>
            <w:rFonts w:ascii="Calibri Light" w:eastAsia="Times New Roman" w:hAnsi="Calibri Light" w:cs="Calibri Light"/>
            <w:color w:val="0000FF"/>
            <w:kern w:val="0"/>
            <w:u w:val="single"/>
            <w:lang w:eastAsia="en-GB"/>
            <w14:ligatures w14:val="none"/>
          </w:rPr>
          <w:t>www.saferinternet.org.uk</w:t>
        </w:r>
      </w:hyperlink>
    </w:p>
    <w:p w14:paraId="3EBF0A37" w14:textId="77777777" w:rsidR="00343CD5" w:rsidRDefault="00343CD5" w:rsidP="00343CD5">
      <w:pPr>
        <w:numPr>
          <w:ilvl w:val="0"/>
          <w:numId w:val="10"/>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Educate Against Hate: </w:t>
      </w:r>
      <w:hyperlink r:id="rId12" w:history="1">
        <w:r w:rsidRPr="00343CD5">
          <w:rPr>
            <w:rFonts w:ascii="Calibri Light" w:eastAsia="Times New Roman" w:hAnsi="Calibri Light" w:cs="Calibri Light"/>
            <w:color w:val="0000FF"/>
            <w:kern w:val="0"/>
            <w:u w:val="single"/>
            <w:lang w:eastAsia="en-GB"/>
            <w14:ligatures w14:val="none"/>
          </w:rPr>
          <w:t>www.educateagainsthate.com</w:t>
        </w:r>
      </w:hyperlink>
    </w:p>
    <w:p w14:paraId="4D377CFB" w14:textId="77777777" w:rsidR="00A45E59" w:rsidRPr="00343CD5" w:rsidRDefault="00A45E59" w:rsidP="00A45E59">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 xml:space="preserve">Links with </w:t>
      </w:r>
      <w:r w:rsidRPr="00A45E59">
        <w:rPr>
          <w:rFonts w:ascii="Times New Roman" w:eastAsia="Times New Roman" w:hAnsi="Times New Roman" w:cs="Times New Roman"/>
          <w:b/>
          <w:bCs/>
          <w:color w:val="A02B93" w:themeColor="accent5"/>
          <w:kern w:val="0"/>
          <w:sz w:val="36"/>
          <w:szCs w:val="36"/>
          <w:lang w:eastAsia="en-GB"/>
          <w14:ligatures w14:val="none"/>
        </w:rPr>
        <w:t>o</w:t>
      </w:r>
      <w:r w:rsidRPr="00343CD5">
        <w:rPr>
          <w:rFonts w:ascii="Times New Roman" w:eastAsia="Times New Roman" w:hAnsi="Times New Roman" w:cs="Times New Roman"/>
          <w:b/>
          <w:bCs/>
          <w:color w:val="A02B93" w:themeColor="accent5"/>
          <w:kern w:val="0"/>
          <w:sz w:val="36"/>
          <w:szCs w:val="36"/>
          <w:lang w:eastAsia="en-GB"/>
          <w14:ligatures w14:val="none"/>
        </w:rPr>
        <w:t xml:space="preserve">ther </w:t>
      </w:r>
      <w:r w:rsidRPr="00A45E59">
        <w:rPr>
          <w:rFonts w:ascii="Times New Roman" w:eastAsia="Times New Roman" w:hAnsi="Times New Roman" w:cs="Times New Roman"/>
          <w:b/>
          <w:bCs/>
          <w:color w:val="A02B93" w:themeColor="accent5"/>
          <w:kern w:val="0"/>
          <w:sz w:val="36"/>
          <w:szCs w:val="36"/>
          <w:lang w:eastAsia="en-GB"/>
          <w14:ligatures w14:val="none"/>
        </w:rPr>
        <w:t>Policies</w:t>
      </w:r>
    </w:p>
    <w:p w14:paraId="64C27CA7" w14:textId="77777777" w:rsidR="00A45E59" w:rsidRPr="00343CD5" w:rsidRDefault="00A45E59" w:rsidP="00A45E59">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This policy should be read alongside:</w:t>
      </w:r>
    </w:p>
    <w:p w14:paraId="1434F9D9" w14:textId="77777777" w:rsidR="00A45E59" w:rsidRPr="00343CD5" w:rsidRDefault="00A45E59" w:rsidP="00A45E59">
      <w:pPr>
        <w:numPr>
          <w:ilvl w:val="0"/>
          <w:numId w:val="1"/>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Behaviour Policy</w:t>
      </w:r>
    </w:p>
    <w:p w14:paraId="4F61B1E1" w14:textId="77777777" w:rsidR="00A45E59" w:rsidRPr="00343CD5" w:rsidRDefault="00A45E59" w:rsidP="00A45E59">
      <w:pPr>
        <w:numPr>
          <w:ilvl w:val="0"/>
          <w:numId w:val="1"/>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Safeguarding and Child Protection Policy</w:t>
      </w:r>
    </w:p>
    <w:p w14:paraId="71F1D97B" w14:textId="77777777" w:rsidR="00A45E59" w:rsidRPr="00343CD5" w:rsidRDefault="00A45E59" w:rsidP="00A45E59">
      <w:pPr>
        <w:numPr>
          <w:ilvl w:val="0"/>
          <w:numId w:val="1"/>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SEND Policy</w:t>
      </w:r>
    </w:p>
    <w:p w14:paraId="66312E3B" w14:textId="77777777" w:rsidR="00A45E59" w:rsidRPr="00343CD5" w:rsidRDefault="00A45E59" w:rsidP="00A45E59">
      <w:pPr>
        <w:numPr>
          <w:ilvl w:val="0"/>
          <w:numId w:val="1"/>
        </w:num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Equity, Diversity and Inclusion Policy</w:t>
      </w:r>
    </w:p>
    <w:p w14:paraId="41F7AF38" w14:textId="68168B71" w:rsidR="00343CD5" w:rsidRPr="00A45E59" w:rsidRDefault="00A45E59" w:rsidP="00A45E59">
      <w:pPr>
        <w:numPr>
          <w:ilvl w:val="0"/>
          <w:numId w:val="1"/>
        </w:numPr>
        <w:spacing w:before="100" w:beforeAutospacing="1" w:after="100" w:afterAutospacing="1" w:line="240" w:lineRule="auto"/>
        <w:rPr>
          <w:rFonts w:ascii="Calibri Light" w:eastAsia="Times New Roman" w:hAnsi="Calibri Light" w:cs="Calibri Light"/>
          <w:color w:val="A02B93" w:themeColor="accent5"/>
          <w:kern w:val="0"/>
          <w:lang w:eastAsia="en-GB"/>
          <w14:ligatures w14:val="none"/>
        </w:rPr>
      </w:pPr>
      <w:r w:rsidRPr="00343CD5">
        <w:rPr>
          <w:rFonts w:ascii="Calibri Light" w:eastAsia="Times New Roman" w:hAnsi="Calibri Light" w:cs="Calibri Light"/>
          <w:kern w:val="0"/>
          <w:lang w:eastAsia="en-GB"/>
          <w14:ligatures w14:val="none"/>
        </w:rPr>
        <w:t>E</w:t>
      </w:r>
      <w:r w:rsidRPr="00343CD5">
        <w:rPr>
          <w:rFonts w:ascii="Calibri Light" w:eastAsia="Times New Roman" w:hAnsi="Calibri Light" w:cs="Calibri Light"/>
          <w:kern w:val="0"/>
          <w:lang w:eastAsia="en-GB"/>
          <w14:ligatures w14:val="none"/>
        </w:rPr>
        <w:noBreakHyphen/>
        <w:t>Safety Policy</w:t>
      </w:r>
    </w:p>
    <w:p w14:paraId="3611934E" w14:textId="77777777" w:rsidR="00343CD5" w:rsidRPr="00343CD5" w:rsidRDefault="00343CD5" w:rsidP="00343CD5">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lang w:eastAsia="en-GB"/>
          <w14:ligatures w14:val="none"/>
        </w:rPr>
      </w:pPr>
      <w:r w:rsidRPr="00343CD5">
        <w:rPr>
          <w:rFonts w:ascii="Times New Roman" w:eastAsia="Times New Roman" w:hAnsi="Times New Roman" w:cs="Times New Roman"/>
          <w:b/>
          <w:bCs/>
          <w:color w:val="A02B93" w:themeColor="accent5"/>
          <w:kern w:val="0"/>
          <w:sz w:val="36"/>
          <w:szCs w:val="36"/>
          <w:lang w:eastAsia="en-GB"/>
          <w14:ligatures w14:val="none"/>
        </w:rPr>
        <w:t>Monitoring and Review</w:t>
      </w:r>
    </w:p>
    <w:p w14:paraId="5B4CE243" w14:textId="57EC4F0C" w:rsidR="00343CD5" w:rsidRPr="00343CD5" w:rsidRDefault="00343CD5" w:rsidP="00343CD5">
      <w:pPr>
        <w:spacing w:before="100" w:beforeAutospacing="1" w:after="100" w:afterAutospacing="1" w:line="240" w:lineRule="auto"/>
        <w:rPr>
          <w:rFonts w:ascii="Calibri Light" w:eastAsia="Times New Roman" w:hAnsi="Calibri Light" w:cs="Calibri Light"/>
          <w:kern w:val="0"/>
          <w:lang w:eastAsia="en-GB"/>
          <w14:ligatures w14:val="none"/>
        </w:rPr>
      </w:pPr>
      <w:r w:rsidRPr="00343CD5">
        <w:rPr>
          <w:rFonts w:ascii="Calibri Light" w:eastAsia="Times New Roman" w:hAnsi="Calibri Light" w:cs="Calibri Light"/>
          <w:kern w:val="0"/>
          <w:lang w:eastAsia="en-GB"/>
          <w14:ligatures w14:val="none"/>
        </w:rPr>
        <w:t xml:space="preserve">This policy will be reviewed annually informed by incident data, staff feedback, and learner voice. </w:t>
      </w:r>
    </w:p>
    <w:p w14:paraId="4568F3FF" w14:textId="007BC651" w:rsidR="00343CD5" w:rsidRDefault="00343CD5"/>
    <w:sectPr w:rsidR="00343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B75"/>
    <w:multiLevelType w:val="multilevel"/>
    <w:tmpl w:val="8F30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A3A3B"/>
    <w:multiLevelType w:val="multilevel"/>
    <w:tmpl w:val="777C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75202"/>
    <w:multiLevelType w:val="multilevel"/>
    <w:tmpl w:val="A3C2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87C29"/>
    <w:multiLevelType w:val="multilevel"/>
    <w:tmpl w:val="F784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14C43"/>
    <w:multiLevelType w:val="multilevel"/>
    <w:tmpl w:val="DC0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83ECF"/>
    <w:multiLevelType w:val="multilevel"/>
    <w:tmpl w:val="9A0E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D4970"/>
    <w:multiLevelType w:val="multilevel"/>
    <w:tmpl w:val="24A4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51A86"/>
    <w:multiLevelType w:val="multilevel"/>
    <w:tmpl w:val="782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B68D4"/>
    <w:multiLevelType w:val="multilevel"/>
    <w:tmpl w:val="D518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21512"/>
    <w:multiLevelType w:val="multilevel"/>
    <w:tmpl w:val="009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257505">
    <w:abstractNumId w:val="5"/>
  </w:num>
  <w:num w:numId="2" w16cid:durableId="857278872">
    <w:abstractNumId w:val="7"/>
  </w:num>
  <w:num w:numId="3" w16cid:durableId="726489672">
    <w:abstractNumId w:val="2"/>
  </w:num>
  <w:num w:numId="4" w16cid:durableId="826896874">
    <w:abstractNumId w:val="6"/>
  </w:num>
  <w:num w:numId="5" w16cid:durableId="1409159008">
    <w:abstractNumId w:val="9"/>
  </w:num>
  <w:num w:numId="6" w16cid:durableId="336347014">
    <w:abstractNumId w:val="8"/>
  </w:num>
  <w:num w:numId="7" w16cid:durableId="2016298286">
    <w:abstractNumId w:val="3"/>
  </w:num>
  <w:num w:numId="8" w16cid:durableId="65302438">
    <w:abstractNumId w:val="4"/>
  </w:num>
  <w:num w:numId="9" w16cid:durableId="1402214968">
    <w:abstractNumId w:val="0"/>
  </w:num>
  <w:num w:numId="10" w16cid:durableId="329915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D5"/>
    <w:rsid w:val="0024586C"/>
    <w:rsid w:val="00343CD5"/>
    <w:rsid w:val="007262CF"/>
    <w:rsid w:val="00A45E59"/>
    <w:rsid w:val="00CB6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CB63"/>
  <w15:chartTrackingRefBased/>
  <w15:docId w15:val="{91EB52BB-D6E2-4A08-A2EE-5ADCF44B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CD5"/>
    <w:rPr>
      <w:rFonts w:eastAsiaTheme="majorEastAsia" w:cstheme="majorBidi"/>
      <w:color w:val="272727" w:themeColor="text1" w:themeTint="D8"/>
    </w:rPr>
  </w:style>
  <w:style w:type="paragraph" w:styleId="Title">
    <w:name w:val="Title"/>
    <w:basedOn w:val="Normal"/>
    <w:next w:val="Normal"/>
    <w:link w:val="TitleChar"/>
    <w:uiPriority w:val="10"/>
    <w:qFormat/>
    <w:rsid w:val="00343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CD5"/>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43CD5"/>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43CD5"/>
    <w:pPr>
      <w:spacing w:before="160"/>
      <w:jc w:val="center"/>
    </w:pPr>
    <w:rPr>
      <w:i/>
      <w:iCs/>
      <w:color w:val="000000" w:themeColor="text1"/>
    </w:rPr>
  </w:style>
  <w:style w:type="character" w:customStyle="1" w:styleId="QuoteChar">
    <w:name w:val="Quote Char"/>
    <w:basedOn w:val="DefaultParagraphFont"/>
    <w:link w:val="Quote"/>
    <w:uiPriority w:val="29"/>
    <w:rsid w:val="00343CD5"/>
    <w:rPr>
      <w:i/>
      <w:iCs/>
      <w:color w:val="000000" w:themeColor="text1"/>
    </w:rPr>
  </w:style>
  <w:style w:type="paragraph" w:styleId="ListParagraph">
    <w:name w:val="List Paragraph"/>
    <w:basedOn w:val="Normal"/>
    <w:uiPriority w:val="34"/>
    <w:qFormat/>
    <w:rsid w:val="00343CD5"/>
    <w:pPr>
      <w:ind w:left="720"/>
      <w:contextualSpacing/>
    </w:pPr>
  </w:style>
  <w:style w:type="character" w:styleId="IntenseEmphasis">
    <w:name w:val="Intense Emphasis"/>
    <w:basedOn w:val="DefaultParagraphFont"/>
    <w:uiPriority w:val="21"/>
    <w:qFormat/>
    <w:rsid w:val="00343CD5"/>
    <w:rPr>
      <w:i/>
      <w:iCs/>
      <w:color w:val="0F4761" w:themeColor="accent1" w:themeShade="BF"/>
    </w:rPr>
  </w:style>
  <w:style w:type="paragraph" w:styleId="IntenseQuote">
    <w:name w:val="Intense Quote"/>
    <w:basedOn w:val="Normal"/>
    <w:next w:val="Normal"/>
    <w:link w:val="IntenseQuoteChar"/>
    <w:uiPriority w:val="30"/>
    <w:qFormat/>
    <w:rsid w:val="00343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CD5"/>
    <w:rPr>
      <w:i/>
      <w:iCs/>
      <w:color w:val="0F4761" w:themeColor="accent1" w:themeShade="BF"/>
    </w:rPr>
  </w:style>
  <w:style w:type="character" w:styleId="IntenseReference">
    <w:name w:val="Intense Reference"/>
    <w:basedOn w:val="DefaultParagraphFont"/>
    <w:uiPriority w:val="32"/>
    <w:qFormat/>
    <w:rsid w:val="00343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ildline.org.uk" TargetMode="External"/><Relationship Id="rId12" Type="http://schemas.openxmlformats.org/officeDocument/2006/relationships/hyperlink" Target="https://www.educateagainsth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ti-bullyingalliance.org.uk" TargetMode="External"/><Relationship Id="rId11" Type="http://schemas.openxmlformats.org/officeDocument/2006/relationships/hyperlink" Target="https://www.saferinternet.org.uk" TargetMode="External"/><Relationship Id="rId5" Type="http://schemas.openxmlformats.org/officeDocument/2006/relationships/image" Target="media/image1.png"/><Relationship Id="rId10" Type="http://schemas.openxmlformats.org/officeDocument/2006/relationships/hyperlink" Target="https://www.restorativejustice.org.uk" TargetMode="External"/><Relationship Id="rId4" Type="http://schemas.openxmlformats.org/officeDocument/2006/relationships/webSettings" Target="webSettings.xml"/><Relationship Id="rId9" Type="http://schemas.openxmlformats.org/officeDocument/2006/relationships/hyperlink" Target="https://www.youngmind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2</cp:revision>
  <dcterms:created xsi:type="dcterms:W3CDTF">2025-11-21T16:55:00Z</dcterms:created>
  <dcterms:modified xsi:type="dcterms:W3CDTF">2026-02-27T21:07:00Z</dcterms:modified>
</cp:coreProperties>
</file>